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5E9A9" w14:textId="3FED4347" w:rsidR="00E53944" w:rsidRPr="0002465F" w:rsidRDefault="00351CC1" w:rsidP="0002465F">
      <w:pPr>
        <w:jc w:val="center"/>
        <w:rPr>
          <w:b/>
          <w:lang w:val="en-CA"/>
        </w:rPr>
      </w:pPr>
      <w:r w:rsidRPr="00BA0F23">
        <w:rPr>
          <w:noProof/>
        </w:rPr>
        <w:drawing>
          <wp:inline distT="0" distB="0" distL="0" distR="0" wp14:anchorId="0C3ACC65" wp14:editId="3CD29B8D">
            <wp:extent cx="796644" cy="796644"/>
            <wp:effectExtent l="0" t="0" r="3810" b="3810"/>
            <wp:docPr id="1750360082"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0360082" name="Picture 1" descr="Logo&#10;&#10;Description automatically generated"/>
                    <pic:cNvPicPr/>
                  </pic:nvPicPr>
                  <pic:blipFill>
                    <a:blip r:embed="rId7"/>
                    <a:stretch>
                      <a:fillRect/>
                    </a:stretch>
                  </pic:blipFill>
                  <pic:spPr>
                    <a:xfrm>
                      <a:off x="0" y="0"/>
                      <a:ext cx="808794" cy="808794"/>
                    </a:xfrm>
                    <a:prstGeom prst="rect">
                      <a:avLst/>
                    </a:prstGeom>
                  </pic:spPr>
                </pic:pic>
              </a:graphicData>
            </a:graphic>
          </wp:inline>
        </w:drawing>
      </w:r>
    </w:p>
    <w:p w14:paraId="40D6A300" w14:textId="77777777" w:rsidR="00E53944" w:rsidRDefault="00E53944" w:rsidP="00E53944">
      <w:pPr>
        <w:jc w:val="center"/>
        <w:rPr>
          <w:b/>
          <w:u w:val="single"/>
          <w:lang w:val="en-CA"/>
        </w:rPr>
      </w:pPr>
    </w:p>
    <w:p w14:paraId="344985B1" w14:textId="5FC86D9B" w:rsidR="00360024" w:rsidRDefault="00360024" w:rsidP="00360024">
      <w:pPr>
        <w:jc w:val="center"/>
        <w:rPr>
          <w:b/>
          <w:szCs w:val="20"/>
          <w:u w:val="single"/>
        </w:rPr>
      </w:pPr>
      <w:r w:rsidRPr="003A7F86">
        <w:rPr>
          <w:b/>
          <w:szCs w:val="20"/>
          <w:u w:val="single"/>
        </w:rPr>
        <w:t>Marketing Investments Policy</w:t>
      </w:r>
      <w:r w:rsidR="004F2B79">
        <w:rPr>
          <w:b/>
          <w:szCs w:val="20"/>
          <w:u w:val="single"/>
        </w:rPr>
        <w:t xml:space="preserve"> &amp; Guidelines</w:t>
      </w:r>
    </w:p>
    <w:p w14:paraId="6E7E5093" w14:textId="77777777" w:rsidR="00984E26" w:rsidRDefault="00984E26" w:rsidP="00360024">
      <w:pPr>
        <w:jc w:val="center"/>
        <w:rPr>
          <w:b/>
          <w:szCs w:val="20"/>
          <w:u w:val="single"/>
        </w:rPr>
      </w:pPr>
    </w:p>
    <w:p w14:paraId="2357DA1B" w14:textId="77777777" w:rsidR="00984E26" w:rsidRPr="00984E26" w:rsidRDefault="00984E26" w:rsidP="00984E26">
      <w:pPr>
        <w:rPr>
          <w:szCs w:val="20"/>
        </w:rPr>
      </w:pPr>
      <w:r w:rsidRPr="00984E26">
        <w:rPr>
          <w:szCs w:val="20"/>
        </w:rPr>
        <w:t xml:space="preserve">The Regional Tourism Organization (RTO) program was developed to fund organizations that act in the best interest and promote and coordinate tourism activities with the entirety of the region.  RTOs enhance the economic impact of the tourism sector by leveraging partnerships and collaboration across the entire industry.   RTOs cannot divide funding proportionally among participating Destination Marketing Organizations (DMOs) or communities and must be used to support the region as a whole.  </w:t>
      </w:r>
    </w:p>
    <w:p w14:paraId="7C570C68" w14:textId="77777777" w:rsidR="00984E26" w:rsidRPr="00984E26" w:rsidRDefault="00984E26" w:rsidP="00984E26">
      <w:pPr>
        <w:rPr>
          <w:szCs w:val="20"/>
        </w:rPr>
      </w:pPr>
    </w:p>
    <w:p w14:paraId="3283E060" w14:textId="48AB5FF1" w:rsidR="00984E26" w:rsidRPr="00984E26" w:rsidRDefault="00984E26" w:rsidP="00984E26">
      <w:pPr>
        <w:rPr>
          <w:szCs w:val="20"/>
          <w:lang w:val="en"/>
        </w:rPr>
      </w:pPr>
      <w:r w:rsidRPr="00984E26">
        <w:rPr>
          <w:szCs w:val="20"/>
          <w:lang w:val="en"/>
        </w:rPr>
        <w:t>The Province strongly encourages RTOs to work with all tourism partners including other regions, sector-based organizations, municipalities, and other organizations on matters of mutual interest. Strong partnerships and a coordinated approach are vital to the future sustainability of tourism across the province.</w:t>
      </w:r>
      <w:r w:rsidRPr="00984E26">
        <w:rPr>
          <w:szCs w:val="20"/>
        </w:rPr>
        <w:t xml:space="preserve">  </w:t>
      </w:r>
    </w:p>
    <w:p w14:paraId="462F02F3" w14:textId="1490F4C1" w:rsidR="006F626B" w:rsidRPr="00360024" w:rsidRDefault="006F626B" w:rsidP="00AF5AFD">
      <w:pPr>
        <w:rPr>
          <w:szCs w:val="20"/>
        </w:rPr>
      </w:pPr>
      <w:r>
        <w:rPr>
          <w:szCs w:val="20"/>
        </w:rPr>
        <w:t xml:space="preserve"> </w:t>
      </w:r>
    </w:p>
    <w:p w14:paraId="0005C674" w14:textId="77777777" w:rsidR="00360024" w:rsidRDefault="00360024" w:rsidP="00360024">
      <w:pPr>
        <w:pStyle w:val="ListParagraph"/>
        <w:numPr>
          <w:ilvl w:val="0"/>
          <w:numId w:val="2"/>
        </w:numPr>
        <w:rPr>
          <w:rFonts w:cs="Arial"/>
          <w:sz w:val="20"/>
          <w:szCs w:val="20"/>
        </w:rPr>
      </w:pPr>
      <w:r w:rsidRPr="003A7F86">
        <w:rPr>
          <w:rFonts w:cs="Arial"/>
          <w:sz w:val="20"/>
          <w:szCs w:val="20"/>
        </w:rPr>
        <w:t>Each investment brought forward for consideration would;</w:t>
      </w:r>
    </w:p>
    <w:p w14:paraId="2A31679A" w14:textId="77777777" w:rsidR="00360024" w:rsidRPr="00360024" w:rsidRDefault="00360024" w:rsidP="00360024">
      <w:pPr>
        <w:rPr>
          <w:szCs w:val="20"/>
        </w:rPr>
      </w:pPr>
    </w:p>
    <w:p w14:paraId="789B01E4" w14:textId="77777777" w:rsidR="00360024" w:rsidRPr="003A7F86" w:rsidRDefault="00360024" w:rsidP="00360024">
      <w:pPr>
        <w:pStyle w:val="ListParagraph"/>
        <w:numPr>
          <w:ilvl w:val="1"/>
          <w:numId w:val="2"/>
        </w:numPr>
        <w:rPr>
          <w:rFonts w:cs="Arial"/>
          <w:sz w:val="20"/>
          <w:szCs w:val="20"/>
        </w:rPr>
      </w:pPr>
      <w:r w:rsidRPr="003A7F86">
        <w:rPr>
          <w:rFonts w:cs="Arial"/>
          <w:sz w:val="20"/>
          <w:szCs w:val="20"/>
        </w:rPr>
        <w:t>To be aligned to TPN’s overall strategy</w:t>
      </w:r>
    </w:p>
    <w:p w14:paraId="6DA4790B" w14:textId="77777777" w:rsidR="00360024" w:rsidRPr="003A7F86" w:rsidRDefault="00360024" w:rsidP="00360024">
      <w:pPr>
        <w:pStyle w:val="ListParagraph"/>
        <w:numPr>
          <w:ilvl w:val="1"/>
          <w:numId w:val="2"/>
        </w:numPr>
        <w:rPr>
          <w:rFonts w:cs="Arial"/>
          <w:sz w:val="20"/>
          <w:szCs w:val="20"/>
        </w:rPr>
      </w:pPr>
      <w:r w:rsidRPr="003A7F86">
        <w:rPr>
          <w:rFonts w:cs="Arial"/>
          <w:sz w:val="20"/>
          <w:szCs w:val="20"/>
        </w:rPr>
        <w:t xml:space="preserve">Include metrics to measure ROI on the investment. </w:t>
      </w:r>
    </w:p>
    <w:p w14:paraId="59C4944E" w14:textId="77777777" w:rsidR="00360024" w:rsidRPr="003A7F86" w:rsidRDefault="00360024" w:rsidP="00360024">
      <w:pPr>
        <w:pStyle w:val="ListParagraph"/>
        <w:numPr>
          <w:ilvl w:val="1"/>
          <w:numId w:val="2"/>
        </w:numPr>
        <w:rPr>
          <w:rFonts w:cs="Arial"/>
          <w:sz w:val="20"/>
          <w:szCs w:val="20"/>
        </w:rPr>
      </w:pPr>
      <w:r w:rsidRPr="003A7F86">
        <w:rPr>
          <w:rFonts w:cs="Arial"/>
          <w:sz w:val="20"/>
          <w:szCs w:val="20"/>
        </w:rPr>
        <w:t>Present a full description of the investment with timelines, partners and marketing opportunities</w:t>
      </w:r>
    </w:p>
    <w:p w14:paraId="657A512C" w14:textId="77777777" w:rsidR="00360024" w:rsidRDefault="00360024" w:rsidP="00360024">
      <w:pPr>
        <w:pStyle w:val="ListParagraph"/>
        <w:numPr>
          <w:ilvl w:val="1"/>
          <w:numId w:val="2"/>
        </w:numPr>
        <w:rPr>
          <w:rFonts w:cs="Arial"/>
          <w:sz w:val="20"/>
          <w:szCs w:val="20"/>
        </w:rPr>
      </w:pPr>
      <w:r w:rsidRPr="003A7F86">
        <w:rPr>
          <w:rFonts w:cs="Arial"/>
          <w:sz w:val="20"/>
          <w:szCs w:val="20"/>
        </w:rPr>
        <w:t>Present a complete budget with all sources of revenue and detailed expenses</w:t>
      </w:r>
    </w:p>
    <w:p w14:paraId="5D245C62" w14:textId="77777777" w:rsidR="00360024" w:rsidRPr="003A7F86" w:rsidRDefault="00360024" w:rsidP="00360024">
      <w:pPr>
        <w:pStyle w:val="ListParagraph"/>
        <w:ind w:left="1440"/>
        <w:rPr>
          <w:rFonts w:cs="Arial"/>
          <w:sz w:val="20"/>
          <w:szCs w:val="20"/>
        </w:rPr>
      </w:pPr>
    </w:p>
    <w:p w14:paraId="2C1C6153" w14:textId="119DE0A1" w:rsidR="000F7918" w:rsidRPr="00F834C5" w:rsidRDefault="000F7918" w:rsidP="000F7918">
      <w:pPr>
        <w:pStyle w:val="ListParagraph"/>
        <w:numPr>
          <w:ilvl w:val="0"/>
          <w:numId w:val="2"/>
        </w:numPr>
        <w:rPr>
          <w:rFonts w:cs="Arial"/>
          <w:sz w:val="20"/>
          <w:szCs w:val="20"/>
        </w:rPr>
      </w:pPr>
      <w:r w:rsidRPr="00F834C5">
        <w:rPr>
          <w:rFonts w:cs="Arial"/>
          <w:sz w:val="20"/>
          <w:szCs w:val="20"/>
        </w:rPr>
        <w:t xml:space="preserve">Funding </w:t>
      </w:r>
      <w:r w:rsidR="00984E26" w:rsidRPr="00F834C5">
        <w:rPr>
          <w:rFonts w:cs="Arial"/>
          <w:sz w:val="20"/>
          <w:szCs w:val="20"/>
        </w:rPr>
        <w:t>application requests will have a minimum of $10,000 and a maximum of $100,000 for</w:t>
      </w:r>
      <w:r w:rsidRPr="00F834C5">
        <w:rPr>
          <w:rFonts w:cs="Arial"/>
          <w:sz w:val="20"/>
          <w:szCs w:val="20"/>
        </w:rPr>
        <w:t xml:space="preserve"> any one investment</w:t>
      </w:r>
      <w:r w:rsidR="00984E26" w:rsidRPr="00F834C5">
        <w:rPr>
          <w:rFonts w:cs="Arial"/>
          <w:sz w:val="20"/>
          <w:szCs w:val="20"/>
        </w:rPr>
        <w:t>.</w:t>
      </w:r>
    </w:p>
    <w:p w14:paraId="57CE75AF" w14:textId="77777777" w:rsidR="000F7918" w:rsidRPr="00F834C5" w:rsidRDefault="000F7918" w:rsidP="000F7918">
      <w:pPr>
        <w:rPr>
          <w:szCs w:val="20"/>
        </w:rPr>
      </w:pPr>
    </w:p>
    <w:p w14:paraId="6C9E838F" w14:textId="7B3626D2" w:rsidR="000F7918" w:rsidRPr="00F834C5" w:rsidRDefault="000F7918" w:rsidP="00F834C5">
      <w:pPr>
        <w:pStyle w:val="ListParagraph"/>
        <w:numPr>
          <w:ilvl w:val="0"/>
          <w:numId w:val="2"/>
        </w:numPr>
        <w:rPr>
          <w:sz w:val="20"/>
          <w:szCs w:val="20"/>
        </w:rPr>
      </w:pPr>
      <w:r w:rsidRPr="00F834C5">
        <w:rPr>
          <w:sz w:val="20"/>
          <w:szCs w:val="20"/>
        </w:rPr>
        <w:t xml:space="preserve">TPN will only </w:t>
      </w:r>
      <w:r w:rsidR="006F2F19" w:rsidRPr="00F834C5">
        <w:rPr>
          <w:sz w:val="20"/>
          <w:szCs w:val="20"/>
        </w:rPr>
        <w:t xml:space="preserve">support </w:t>
      </w:r>
      <w:r w:rsidRPr="00F834C5">
        <w:rPr>
          <w:sz w:val="20"/>
          <w:szCs w:val="20"/>
        </w:rPr>
        <w:t>costs related to marketing, promotion and/or animation of the destination</w:t>
      </w:r>
      <w:r w:rsidR="00F834C5">
        <w:rPr>
          <w:sz w:val="20"/>
          <w:szCs w:val="20"/>
        </w:rPr>
        <w:t>.</w:t>
      </w:r>
    </w:p>
    <w:p w14:paraId="1829EFBA" w14:textId="77777777" w:rsidR="000F7918" w:rsidRPr="00F834C5" w:rsidRDefault="000F7918" w:rsidP="000F7918">
      <w:pPr>
        <w:pStyle w:val="ListParagraph"/>
        <w:rPr>
          <w:rFonts w:cs="Arial"/>
          <w:sz w:val="20"/>
          <w:szCs w:val="20"/>
        </w:rPr>
      </w:pPr>
    </w:p>
    <w:p w14:paraId="6E14D416" w14:textId="5F938FE6" w:rsidR="001F0B0A" w:rsidRPr="00F834C5" w:rsidRDefault="001F0B0A" w:rsidP="001F0B0A">
      <w:pPr>
        <w:pStyle w:val="ListParagraph"/>
        <w:numPr>
          <w:ilvl w:val="0"/>
          <w:numId w:val="2"/>
        </w:numPr>
        <w:rPr>
          <w:rFonts w:cs="Arial"/>
          <w:sz w:val="20"/>
          <w:szCs w:val="20"/>
        </w:rPr>
      </w:pPr>
      <w:r w:rsidRPr="00F834C5">
        <w:rPr>
          <w:rFonts w:cs="Arial"/>
          <w:sz w:val="20"/>
          <w:szCs w:val="20"/>
        </w:rPr>
        <w:t xml:space="preserve">Each investment to be vetted by </w:t>
      </w:r>
      <w:r w:rsidR="0029102B">
        <w:rPr>
          <w:rFonts w:cs="Arial"/>
          <w:sz w:val="20"/>
          <w:szCs w:val="20"/>
        </w:rPr>
        <w:t>TPN staff</w:t>
      </w:r>
      <w:r w:rsidR="001C387C" w:rsidRPr="00F834C5">
        <w:rPr>
          <w:rFonts w:cs="Arial"/>
          <w:sz w:val="20"/>
          <w:szCs w:val="20"/>
        </w:rPr>
        <w:t xml:space="preserve"> who w</w:t>
      </w:r>
      <w:r w:rsidRPr="00F834C5">
        <w:rPr>
          <w:rFonts w:cs="Arial"/>
          <w:sz w:val="20"/>
          <w:szCs w:val="20"/>
        </w:rPr>
        <w:t xml:space="preserve">ill present their recommendations for </w:t>
      </w:r>
      <w:r w:rsidR="0029102B">
        <w:rPr>
          <w:rFonts w:cs="Arial"/>
          <w:sz w:val="20"/>
          <w:szCs w:val="20"/>
        </w:rPr>
        <w:t>approval by the TPN Board</w:t>
      </w:r>
      <w:r w:rsidR="001C387C" w:rsidRPr="00F834C5">
        <w:rPr>
          <w:rFonts w:cs="Arial"/>
          <w:sz w:val="20"/>
          <w:szCs w:val="20"/>
        </w:rPr>
        <w:t>.</w:t>
      </w:r>
    </w:p>
    <w:p w14:paraId="43E9D65F" w14:textId="77777777" w:rsidR="001F0B0A" w:rsidRPr="00F834C5" w:rsidRDefault="001F0B0A" w:rsidP="001F0B0A">
      <w:pPr>
        <w:pStyle w:val="ListParagraph"/>
        <w:rPr>
          <w:rFonts w:cs="Arial"/>
          <w:sz w:val="20"/>
          <w:szCs w:val="20"/>
        </w:rPr>
      </w:pPr>
    </w:p>
    <w:p w14:paraId="6AE96D5E" w14:textId="677C3029" w:rsidR="000F7918" w:rsidRPr="00F834C5" w:rsidRDefault="000F7918" w:rsidP="00360024">
      <w:pPr>
        <w:pStyle w:val="ListParagraph"/>
        <w:numPr>
          <w:ilvl w:val="0"/>
          <w:numId w:val="2"/>
        </w:numPr>
        <w:rPr>
          <w:rFonts w:cs="Arial"/>
          <w:sz w:val="20"/>
          <w:szCs w:val="20"/>
        </w:rPr>
      </w:pPr>
      <w:r w:rsidRPr="00F834C5">
        <w:rPr>
          <w:rFonts w:cs="Arial"/>
          <w:sz w:val="20"/>
          <w:szCs w:val="20"/>
        </w:rPr>
        <w:t xml:space="preserve">Approvals are </w:t>
      </w:r>
      <w:r w:rsidRPr="00F834C5">
        <w:rPr>
          <w:rFonts w:cs="Arial"/>
          <w:b/>
          <w:sz w:val="20"/>
          <w:szCs w:val="20"/>
          <w:u w:val="single"/>
        </w:rPr>
        <w:t>conditional and subject</w:t>
      </w:r>
      <w:r w:rsidRPr="00F834C5">
        <w:rPr>
          <w:rFonts w:cs="Arial"/>
          <w:sz w:val="20"/>
          <w:szCs w:val="20"/>
        </w:rPr>
        <w:t xml:space="preserve"> to TPN’s review and approval of marketing plans</w:t>
      </w:r>
      <w:r w:rsidR="00F834C5">
        <w:rPr>
          <w:rFonts w:cs="Arial"/>
          <w:sz w:val="20"/>
          <w:szCs w:val="20"/>
        </w:rPr>
        <w:t>.</w:t>
      </w:r>
    </w:p>
    <w:p w14:paraId="1815A9A9" w14:textId="77777777" w:rsidR="000F7918" w:rsidRPr="00F834C5" w:rsidRDefault="000F7918" w:rsidP="000F7918">
      <w:pPr>
        <w:pStyle w:val="ListParagraph"/>
        <w:rPr>
          <w:rFonts w:cs="Arial"/>
          <w:sz w:val="20"/>
          <w:szCs w:val="20"/>
        </w:rPr>
      </w:pPr>
    </w:p>
    <w:p w14:paraId="3E26B2D5" w14:textId="22508810" w:rsidR="00360024" w:rsidRDefault="00360024" w:rsidP="00360024">
      <w:pPr>
        <w:pStyle w:val="ListParagraph"/>
        <w:numPr>
          <w:ilvl w:val="0"/>
          <w:numId w:val="2"/>
        </w:numPr>
        <w:rPr>
          <w:rFonts w:cs="Arial"/>
          <w:sz w:val="20"/>
          <w:szCs w:val="20"/>
        </w:rPr>
      </w:pPr>
      <w:r w:rsidRPr="003A7F86">
        <w:rPr>
          <w:rFonts w:cs="Arial"/>
          <w:sz w:val="20"/>
          <w:szCs w:val="20"/>
        </w:rPr>
        <w:t xml:space="preserve">The TPN </w:t>
      </w:r>
      <w:r w:rsidR="000F7918">
        <w:rPr>
          <w:rFonts w:cs="Arial"/>
          <w:sz w:val="20"/>
          <w:szCs w:val="20"/>
        </w:rPr>
        <w:t xml:space="preserve">may </w:t>
      </w:r>
      <w:r w:rsidRPr="003A7F86">
        <w:rPr>
          <w:rFonts w:cs="Arial"/>
          <w:sz w:val="20"/>
          <w:szCs w:val="20"/>
        </w:rPr>
        <w:t>assist in harvesting assets, deploy</w:t>
      </w:r>
      <w:r w:rsidR="000F7918">
        <w:rPr>
          <w:rFonts w:cs="Arial"/>
          <w:sz w:val="20"/>
          <w:szCs w:val="20"/>
        </w:rPr>
        <w:t>ing</w:t>
      </w:r>
      <w:r w:rsidRPr="003A7F86">
        <w:rPr>
          <w:rFonts w:cs="Arial"/>
          <w:sz w:val="20"/>
          <w:szCs w:val="20"/>
        </w:rPr>
        <w:t xml:space="preserve"> communica</w:t>
      </w:r>
      <w:r w:rsidR="00A07935">
        <w:rPr>
          <w:rFonts w:cs="Arial"/>
          <w:sz w:val="20"/>
          <w:szCs w:val="20"/>
        </w:rPr>
        <w:t>tions and tactical plans</w:t>
      </w:r>
      <w:r w:rsidR="00F834C5">
        <w:rPr>
          <w:rFonts w:cs="Arial"/>
          <w:sz w:val="20"/>
          <w:szCs w:val="20"/>
        </w:rPr>
        <w:t>.</w:t>
      </w:r>
    </w:p>
    <w:p w14:paraId="04B3AB92" w14:textId="77777777" w:rsidR="00360024" w:rsidRPr="003A7F86" w:rsidRDefault="00360024" w:rsidP="00360024">
      <w:pPr>
        <w:pStyle w:val="ListParagraph"/>
        <w:rPr>
          <w:rFonts w:cs="Arial"/>
          <w:sz w:val="20"/>
          <w:szCs w:val="20"/>
        </w:rPr>
      </w:pPr>
    </w:p>
    <w:p w14:paraId="64612A57" w14:textId="349D8F87" w:rsidR="00360024" w:rsidRPr="004F2B79" w:rsidRDefault="00360024" w:rsidP="00360024">
      <w:pPr>
        <w:pStyle w:val="ListParagraph"/>
        <w:numPr>
          <w:ilvl w:val="0"/>
          <w:numId w:val="2"/>
        </w:numPr>
        <w:rPr>
          <w:rFonts w:cs="Arial"/>
          <w:sz w:val="20"/>
          <w:szCs w:val="20"/>
        </w:rPr>
      </w:pPr>
      <w:r w:rsidRPr="004F2B79">
        <w:rPr>
          <w:rFonts w:cs="Arial"/>
          <w:sz w:val="20"/>
          <w:szCs w:val="20"/>
        </w:rPr>
        <w:t>Funding Agreement to be executed with each investment</w:t>
      </w:r>
      <w:r w:rsidR="000F7918" w:rsidRPr="004F2B79">
        <w:rPr>
          <w:rFonts w:cs="Arial"/>
          <w:sz w:val="20"/>
          <w:szCs w:val="20"/>
        </w:rPr>
        <w:t xml:space="preserve"> outlining the conditions attached for support</w:t>
      </w:r>
    </w:p>
    <w:p w14:paraId="041DFEF3" w14:textId="77777777" w:rsidR="00360024" w:rsidRPr="00360024" w:rsidRDefault="00360024" w:rsidP="00360024">
      <w:pPr>
        <w:rPr>
          <w:szCs w:val="20"/>
        </w:rPr>
      </w:pPr>
    </w:p>
    <w:p w14:paraId="7EA23F24" w14:textId="369C9A06" w:rsidR="00360024" w:rsidRPr="003A7F86" w:rsidRDefault="00360024" w:rsidP="00360024">
      <w:pPr>
        <w:pStyle w:val="ListParagraph"/>
        <w:numPr>
          <w:ilvl w:val="0"/>
          <w:numId w:val="2"/>
        </w:numPr>
        <w:rPr>
          <w:rFonts w:cs="Arial"/>
          <w:sz w:val="20"/>
          <w:szCs w:val="20"/>
        </w:rPr>
      </w:pPr>
      <w:r w:rsidRPr="003A7F86">
        <w:rPr>
          <w:rFonts w:cs="Arial"/>
          <w:sz w:val="20"/>
          <w:szCs w:val="20"/>
        </w:rPr>
        <w:t xml:space="preserve">Board Reporting required to report on the success of the agreed to metrics, within </w:t>
      </w:r>
      <w:r w:rsidR="000F7918">
        <w:rPr>
          <w:rFonts w:cs="Arial"/>
          <w:sz w:val="20"/>
          <w:szCs w:val="20"/>
        </w:rPr>
        <w:t>30</w:t>
      </w:r>
      <w:r w:rsidR="004F2B79">
        <w:rPr>
          <w:rFonts w:cs="Arial"/>
          <w:sz w:val="20"/>
          <w:szCs w:val="20"/>
        </w:rPr>
        <w:t xml:space="preserve"> </w:t>
      </w:r>
      <w:r w:rsidRPr="003A7F86">
        <w:rPr>
          <w:rFonts w:cs="Arial"/>
          <w:sz w:val="20"/>
          <w:szCs w:val="20"/>
        </w:rPr>
        <w:t>days</w:t>
      </w:r>
      <w:r w:rsidR="000F7918">
        <w:rPr>
          <w:rFonts w:cs="Arial"/>
          <w:sz w:val="20"/>
          <w:szCs w:val="20"/>
        </w:rPr>
        <w:t xml:space="preserve"> of the event.</w:t>
      </w:r>
    </w:p>
    <w:p w14:paraId="548C7910" w14:textId="77777777" w:rsidR="00360024" w:rsidRDefault="00360024" w:rsidP="00360024">
      <w:pPr>
        <w:ind w:firstLine="360"/>
        <w:rPr>
          <w:b/>
          <w:szCs w:val="20"/>
          <w:u w:val="single"/>
        </w:rPr>
      </w:pPr>
    </w:p>
    <w:p w14:paraId="71C2D989" w14:textId="77777777" w:rsidR="00F834C5" w:rsidRPr="00272147" w:rsidRDefault="00F834C5" w:rsidP="00F834C5">
      <w:pPr>
        <w:widowControl w:val="0"/>
        <w:autoSpaceDE w:val="0"/>
        <w:autoSpaceDN w:val="0"/>
        <w:adjustRightInd w:val="0"/>
        <w:rPr>
          <w:b/>
          <w:szCs w:val="20"/>
          <w:u w:val="single"/>
        </w:rPr>
      </w:pPr>
      <w:r>
        <w:rPr>
          <w:b/>
          <w:szCs w:val="20"/>
          <w:u w:val="single"/>
        </w:rPr>
        <w:t>BUDGETS and INTAKE DATES</w:t>
      </w:r>
    </w:p>
    <w:p w14:paraId="7FBEBAB0" w14:textId="77777777" w:rsidR="00F834C5" w:rsidRDefault="00F834C5" w:rsidP="00F834C5">
      <w:pPr>
        <w:widowControl w:val="0"/>
        <w:autoSpaceDE w:val="0"/>
        <w:autoSpaceDN w:val="0"/>
        <w:adjustRightInd w:val="0"/>
        <w:rPr>
          <w:bCs/>
          <w:szCs w:val="20"/>
        </w:rPr>
      </w:pPr>
      <w:r>
        <w:rPr>
          <w:bCs/>
          <w:szCs w:val="20"/>
        </w:rPr>
        <w:t>TPN will accept applications at any time, however the following the guidelines will be applied for the fiscal period of April 01 – March 31.</w:t>
      </w:r>
    </w:p>
    <w:p w14:paraId="530CF6DC" w14:textId="77777777" w:rsidR="00F834C5" w:rsidRDefault="00F834C5" w:rsidP="00F834C5">
      <w:pPr>
        <w:widowControl w:val="0"/>
        <w:autoSpaceDE w:val="0"/>
        <w:autoSpaceDN w:val="0"/>
        <w:adjustRightInd w:val="0"/>
        <w:rPr>
          <w:bCs/>
          <w:szCs w:val="20"/>
        </w:rPr>
      </w:pPr>
    </w:p>
    <w:p w14:paraId="336738C1" w14:textId="7383FC2E" w:rsidR="00F834C5" w:rsidRPr="0029102B" w:rsidRDefault="00F834C5" w:rsidP="00F834C5">
      <w:pPr>
        <w:widowControl w:val="0"/>
        <w:autoSpaceDE w:val="0"/>
        <w:autoSpaceDN w:val="0"/>
        <w:adjustRightInd w:val="0"/>
        <w:rPr>
          <w:b/>
          <w:szCs w:val="20"/>
          <w:u w:val="single"/>
        </w:rPr>
      </w:pPr>
      <w:r w:rsidRPr="0029102B">
        <w:rPr>
          <w:b/>
          <w:szCs w:val="20"/>
          <w:u w:val="single"/>
        </w:rPr>
        <w:t>Intake</w:t>
      </w:r>
      <w:r w:rsidR="0029102B" w:rsidRPr="0029102B">
        <w:rPr>
          <w:b/>
          <w:szCs w:val="20"/>
          <w:u w:val="single"/>
        </w:rPr>
        <w:t xml:space="preserve"> – this fiscal year ONLY</w:t>
      </w:r>
    </w:p>
    <w:p w14:paraId="19F90DFF" w14:textId="00A99858" w:rsidR="00F834C5" w:rsidRPr="00B76EFD" w:rsidRDefault="00F834C5" w:rsidP="00F834C5">
      <w:pPr>
        <w:pStyle w:val="ListParagraph"/>
        <w:widowControl w:val="0"/>
        <w:numPr>
          <w:ilvl w:val="0"/>
          <w:numId w:val="3"/>
        </w:numPr>
        <w:autoSpaceDE w:val="0"/>
        <w:autoSpaceDN w:val="0"/>
        <w:adjustRightInd w:val="0"/>
        <w:rPr>
          <w:rFonts w:cs="Arial"/>
          <w:bCs/>
          <w:sz w:val="20"/>
          <w:szCs w:val="20"/>
        </w:rPr>
      </w:pPr>
      <w:r w:rsidRPr="00B76EFD">
        <w:rPr>
          <w:rFonts w:cs="Arial"/>
          <w:bCs/>
          <w:sz w:val="20"/>
          <w:szCs w:val="20"/>
        </w:rPr>
        <w:t xml:space="preserve">TPN will accept applications on or before </w:t>
      </w:r>
      <w:r w:rsidR="0029102B">
        <w:rPr>
          <w:rFonts w:cs="Arial"/>
          <w:bCs/>
          <w:sz w:val="20"/>
          <w:szCs w:val="20"/>
        </w:rPr>
        <w:t xml:space="preserve">Oct. 30, 2023, </w:t>
      </w:r>
      <w:r w:rsidRPr="00B76EFD">
        <w:rPr>
          <w:rFonts w:cs="Arial"/>
          <w:bCs/>
          <w:sz w:val="20"/>
          <w:szCs w:val="20"/>
        </w:rPr>
        <w:t xml:space="preserve">for the current fiscal period. </w:t>
      </w:r>
    </w:p>
    <w:p w14:paraId="029AA6DD" w14:textId="6E273E82" w:rsidR="00F834C5" w:rsidRPr="00B76EFD" w:rsidRDefault="0029102B" w:rsidP="00F834C5">
      <w:pPr>
        <w:pStyle w:val="ListParagraph"/>
        <w:widowControl w:val="0"/>
        <w:numPr>
          <w:ilvl w:val="0"/>
          <w:numId w:val="3"/>
        </w:numPr>
        <w:autoSpaceDE w:val="0"/>
        <w:autoSpaceDN w:val="0"/>
        <w:adjustRightInd w:val="0"/>
        <w:rPr>
          <w:rFonts w:cs="Arial"/>
          <w:bCs/>
          <w:sz w:val="20"/>
          <w:szCs w:val="20"/>
        </w:rPr>
      </w:pPr>
      <w:r>
        <w:rPr>
          <w:rFonts w:cs="Arial"/>
          <w:bCs/>
          <w:sz w:val="20"/>
          <w:szCs w:val="20"/>
        </w:rPr>
        <w:t>100</w:t>
      </w:r>
      <w:r w:rsidR="00F834C5" w:rsidRPr="00B76EFD">
        <w:rPr>
          <w:rFonts w:cs="Arial"/>
          <w:bCs/>
          <w:sz w:val="20"/>
          <w:szCs w:val="20"/>
        </w:rPr>
        <w:t>% of the budget will be available.</w:t>
      </w:r>
    </w:p>
    <w:p w14:paraId="02001ABF" w14:textId="77777777" w:rsidR="00F834C5" w:rsidRDefault="00F834C5" w:rsidP="00F834C5">
      <w:pPr>
        <w:widowControl w:val="0"/>
        <w:autoSpaceDE w:val="0"/>
        <w:autoSpaceDN w:val="0"/>
        <w:adjustRightInd w:val="0"/>
        <w:ind w:left="360"/>
        <w:rPr>
          <w:bCs/>
          <w:szCs w:val="20"/>
        </w:rPr>
      </w:pPr>
    </w:p>
    <w:p w14:paraId="3595E98F" w14:textId="77777777" w:rsidR="0029102B" w:rsidRDefault="0029102B" w:rsidP="00F834C5">
      <w:pPr>
        <w:widowControl w:val="0"/>
        <w:autoSpaceDE w:val="0"/>
        <w:autoSpaceDN w:val="0"/>
        <w:adjustRightInd w:val="0"/>
        <w:rPr>
          <w:b/>
          <w:szCs w:val="20"/>
          <w:u w:val="single"/>
        </w:rPr>
      </w:pPr>
    </w:p>
    <w:sectPr w:rsidR="0029102B" w:rsidSect="003334E3">
      <w:footerReference w:type="default" r:id="rId8"/>
      <w:type w:val="continuous"/>
      <w:pgSz w:w="12240" w:h="15840"/>
      <w:pgMar w:top="1418" w:right="1418" w:bottom="1134" w:left="1418" w:header="720" w:footer="72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052C3" w14:textId="77777777" w:rsidR="00CD5772" w:rsidRDefault="00CD5772" w:rsidP="00C541BD">
      <w:r>
        <w:separator/>
      </w:r>
    </w:p>
  </w:endnote>
  <w:endnote w:type="continuationSeparator" w:id="0">
    <w:p w14:paraId="3F5B4402" w14:textId="77777777" w:rsidR="00CD5772" w:rsidRDefault="00CD5772" w:rsidP="00C54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ECA24" w14:textId="2CE24E5D" w:rsidR="00C541BD" w:rsidRPr="00C541BD" w:rsidRDefault="00B8538D" w:rsidP="00B8538D">
    <w:pPr>
      <w:pStyle w:val="Footer"/>
      <w:tabs>
        <w:tab w:val="center" w:pos="4787"/>
        <w:tab w:val="left" w:pos="5927"/>
      </w:tabs>
      <w:rPr>
        <w:sz w:val="18"/>
        <w:szCs w:val="18"/>
        <w:lang w:val="en-CA"/>
      </w:rPr>
    </w:pPr>
    <w:r>
      <w:rPr>
        <w:sz w:val="18"/>
        <w:szCs w:val="18"/>
        <w:lang w:val="en-CA"/>
      </w:rPr>
      <w:tab/>
    </w:r>
    <w:r w:rsidR="00F834C5">
      <w:rPr>
        <w:sz w:val="18"/>
        <w:szCs w:val="18"/>
        <w:lang w:val="en-CA"/>
      </w:rPr>
      <w:t>Marketing Investments (Rev.</w:t>
    </w:r>
    <w:r>
      <w:rPr>
        <w:sz w:val="18"/>
        <w:szCs w:val="18"/>
        <w:lang w:val="en-CA"/>
      </w:rPr>
      <w:t xml:space="preserve"> </w:t>
    </w:r>
    <w:r w:rsidR="0029102B">
      <w:rPr>
        <w:sz w:val="18"/>
        <w:szCs w:val="18"/>
        <w:lang w:val="en-CA"/>
      </w:rPr>
      <w:t xml:space="preserve">Sep. </w:t>
    </w:r>
    <w:r w:rsidR="001C387C">
      <w:rPr>
        <w:sz w:val="18"/>
        <w:szCs w:val="18"/>
        <w:lang w:val="en-CA"/>
      </w:rPr>
      <w:t>2023</w:t>
    </w:r>
    <w:r w:rsidR="00F834C5">
      <w:rPr>
        <w:sz w:val="18"/>
        <w:szCs w:val="18"/>
        <w:lang w:val="en-CA"/>
      </w:rPr>
      <w:t>)</w:t>
    </w:r>
    <w:r>
      <w:rPr>
        <w:sz w:val="18"/>
        <w:szCs w:val="18"/>
        <w:lang w:val="en-CA"/>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82BC8" w14:textId="77777777" w:rsidR="00CD5772" w:rsidRDefault="00CD5772" w:rsidP="00C541BD">
      <w:r>
        <w:separator/>
      </w:r>
    </w:p>
  </w:footnote>
  <w:footnote w:type="continuationSeparator" w:id="0">
    <w:p w14:paraId="6DF33225" w14:textId="77777777" w:rsidR="00CD5772" w:rsidRDefault="00CD5772" w:rsidP="00C541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870D8"/>
    <w:multiLevelType w:val="hybridMultilevel"/>
    <w:tmpl w:val="B446551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6AAA3BB1"/>
    <w:multiLevelType w:val="hybridMultilevel"/>
    <w:tmpl w:val="5694C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E994285"/>
    <w:multiLevelType w:val="hybridMultilevel"/>
    <w:tmpl w:val="35CE8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ED65645"/>
    <w:multiLevelType w:val="hybridMultilevel"/>
    <w:tmpl w:val="D93E9C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26535199">
    <w:abstractNumId w:val="0"/>
  </w:num>
  <w:num w:numId="2" w16cid:durableId="1213228331">
    <w:abstractNumId w:val="3"/>
  </w:num>
  <w:num w:numId="3" w16cid:durableId="927542198">
    <w:abstractNumId w:val="2"/>
  </w:num>
  <w:num w:numId="4" w16cid:durableId="2555541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0E5B"/>
    <w:rsid w:val="0002465F"/>
    <w:rsid w:val="000C6778"/>
    <w:rsid w:val="000F7918"/>
    <w:rsid w:val="001C387C"/>
    <w:rsid w:val="001F0B0A"/>
    <w:rsid w:val="0029102B"/>
    <w:rsid w:val="002B2FF9"/>
    <w:rsid w:val="002C46F5"/>
    <w:rsid w:val="003334E3"/>
    <w:rsid w:val="00351CC1"/>
    <w:rsid w:val="00360024"/>
    <w:rsid w:val="003A36F5"/>
    <w:rsid w:val="00421D15"/>
    <w:rsid w:val="004F2B79"/>
    <w:rsid w:val="00557E5C"/>
    <w:rsid w:val="00601B24"/>
    <w:rsid w:val="00690E5B"/>
    <w:rsid w:val="006C6EA1"/>
    <w:rsid w:val="006F2F19"/>
    <w:rsid w:val="006F4C80"/>
    <w:rsid w:val="006F626B"/>
    <w:rsid w:val="00745712"/>
    <w:rsid w:val="007E26DE"/>
    <w:rsid w:val="00814517"/>
    <w:rsid w:val="00892D14"/>
    <w:rsid w:val="009602F4"/>
    <w:rsid w:val="00974965"/>
    <w:rsid w:val="00984E26"/>
    <w:rsid w:val="00992A07"/>
    <w:rsid w:val="009D5DC0"/>
    <w:rsid w:val="00A07935"/>
    <w:rsid w:val="00AF5AFD"/>
    <w:rsid w:val="00B8538D"/>
    <w:rsid w:val="00C00E02"/>
    <w:rsid w:val="00C03FE8"/>
    <w:rsid w:val="00C541BD"/>
    <w:rsid w:val="00CD5772"/>
    <w:rsid w:val="00D56888"/>
    <w:rsid w:val="00DB2121"/>
    <w:rsid w:val="00E3601A"/>
    <w:rsid w:val="00E53944"/>
    <w:rsid w:val="00E62839"/>
    <w:rsid w:val="00E803E0"/>
    <w:rsid w:val="00F834C5"/>
    <w:rsid w:val="00FB65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17662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E53944"/>
    <w:pPr>
      <w:ind w:left="720"/>
      <w:contextualSpacing/>
    </w:pPr>
    <w:rPr>
      <w:rFonts w:cstheme="minorBidi"/>
      <w:sz w:val="24"/>
      <w:szCs w:val="24"/>
    </w:rPr>
  </w:style>
  <w:style w:type="paragraph" w:styleId="Header">
    <w:name w:val="header"/>
    <w:basedOn w:val="Normal"/>
    <w:link w:val="HeaderChar"/>
    <w:uiPriority w:val="99"/>
    <w:unhideWhenUsed/>
    <w:rsid w:val="00C541BD"/>
    <w:pPr>
      <w:tabs>
        <w:tab w:val="center" w:pos="4680"/>
        <w:tab w:val="right" w:pos="9360"/>
      </w:tabs>
    </w:pPr>
  </w:style>
  <w:style w:type="character" w:customStyle="1" w:styleId="HeaderChar">
    <w:name w:val="Header Char"/>
    <w:basedOn w:val="DefaultParagraphFont"/>
    <w:link w:val="Header"/>
    <w:uiPriority w:val="99"/>
    <w:rsid w:val="00C541BD"/>
    <w:rPr>
      <w:rFonts w:eastAsiaTheme="minorEastAsia"/>
    </w:rPr>
  </w:style>
  <w:style w:type="paragraph" w:styleId="Footer">
    <w:name w:val="footer"/>
    <w:basedOn w:val="Normal"/>
    <w:link w:val="FooterChar"/>
    <w:uiPriority w:val="99"/>
    <w:unhideWhenUsed/>
    <w:rsid w:val="00C541BD"/>
    <w:pPr>
      <w:tabs>
        <w:tab w:val="center" w:pos="4680"/>
        <w:tab w:val="right" w:pos="9360"/>
      </w:tabs>
    </w:pPr>
  </w:style>
  <w:style w:type="character" w:customStyle="1" w:styleId="FooterChar">
    <w:name w:val="Footer Char"/>
    <w:basedOn w:val="DefaultParagraphFont"/>
    <w:link w:val="Footer"/>
    <w:uiPriority w:val="99"/>
    <w:rsid w:val="00C541BD"/>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330</Words>
  <Characters>1887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Tourism Partnership</dc:creator>
  <cp:keywords/>
  <dc:description/>
  <cp:lastModifiedBy>TPN Accounting pc</cp:lastModifiedBy>
  <cp:revision>3</cp:revision>
  <cp:lastPrinted>2023-06-13T13:48:00Z</cp:lastPrinted>
  <dcterms:created xsi:type="dcterms:W3CDTF">2023-09-19T16:24:00Z</dcterms:created>
  <dcterms:modified xsi:type="dcterms:W3CDTF">2023-09-19T16:27:00Z</dcterms:modified>
</cp:coreProperties>
</file>